
<file path=[Content_Types].xml><?xml version="1.0" encoding="utf-8"?>
<Types xmlns="http://schemas.openxmlformats.org/package/2006/content-types">
  <Default Extension="emf" ContentType="application/x-msmetafile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587" w:rsidRDefault="00752587">
      <w:pPr>
        <w:tabs>
          <w:tab w:val="left" w:pos="2025"/>
          <w:tab w:val="left" w:pos="5103"/>
        </w:tabs>
        <w:ind w:right="593" w:firstLine="1417"/>
        <w:rPr>
          <w:b/>
        </w:rPr>
      </w:pPr>
      <w:bookmarkStart w:id="0" w:name="_GoBack"/>
      <w:bookmarkEnd w:id="0"/>
    </w:p>
    <w:p w:rsidR="00752587" w:rsidRDefault="00F412CB">
      <w:pPr>
        <w:tabs>
          <w:tab w:val="left" w:pos="2025"/>
          <w:tab w:val="left" w:pos="5103"/>
        </w:tabs>
        <w:ind w:right="593" w:firstLine="1417"/>
      </w:pPr>
      <w:bookmarkStart w:id="1" w:name="b_10"/>
      <w:proofErr w:type="spellStart"/>
      <w:r>
        <w:t>Kf</w:t>
      </w:r>
      <w:proofErr w:type="spellEnd"/>
      <w:r>
        <w:t xml:space="preserve"> §97</w:t>
      </w:r>
      <w:bookmarkEnd w:id="1"/>
      <w:r>
        <w:t xml:space="preserve"> </w:t>
      </w:r>
      <w:r>
        <w:rPr>
          <w:lang w:eastAsia="sv-SE" w:bidi="sv-SE"/>
        </w:rPr>
        <w:t xml:space="preserve">      </w:t>
      </w:r>
      <w:r>
        <w:tab/>
        <w:t>Dnr</w:t>
      </w:r>
      <w:r>
        <w:rPr>
          <w:lang w:eastAsia="sv-SE" w:bidi="sv-SE"/>
        </w:rPr>
        <w:t xml:space="preserve"> </w:t>
      </w:r>
      <w:bookmarkStart w:id="2" w:name="b_6"/>
      <w:r>
        <w:t>PLAN.2016.7</w:t>
      </w:r>
      <w:bookmarkEnd w:id="2"/>
      <w:r>
        <w:t xml:space="preserve"> </w:t>
      </w:r>
      <w:r>
        <w:rPr>
          <w:lang w:eastAsia="sv-SE" w:bidi="sv-SE"/>
        </w:rPr>
        <w:t xml:space="preserve">             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593"/>
        <w:rPr>
          <w:b/>
          <w:color w:val="020000"/>
          <w:sz w:val="26"/>
        </w:rPr>
      </w:pPr>
      <w:bookmarkStart w:id="3" w:name="b_11"/>
      <w:r>
        <w:rPr>
          <w:b/>
          <w:color w:val="020000"/>
          <w:sz w:val="26"/>
        </w:rPr>
        <w:t xml:space="preserve">Detaljplan Jogersö </w:t>
      </w:r>
      <w:bookmarkEnd w:id="3"/>
      <w:r>
        <w:rPr>
          <w:b/>
          <w:color w:val="020000"/>
          <w:sz w:val="26"/>
        </w:rPr>
        <w:t xml:space="preserve"> 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593"/>
        <w:rPr>
          <w:color w:val="020000"/>
        </w:rPr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b/>
        </w:rPr>
      </w:pPr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850"/>
      </w:pPr>
      <w:r>
        <w:rPr>
          <w:b/>
          <w:lang w:eastAsia="sv-SE" w:bidi="sv-SE"/>
        </w:rPr>
        <w:t xml:space="preserve">Kommunfullmäktiges </w:t>
      </w:r>
      <w:r>
        <w:rPr>
          <w:b/>
        </w:rPr>
        <w:t>beslut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b/>
          <w:color w:val="020000"/>
        </w:rPr>
      </w:pPr>
    </w:p>
    <w:p w:rsidR="00752587" w:rsidRDefault="00F412CB">
      <w:pPr>
        <w:pStyle w:val="Brdtext"/>
        <w:numPr>
          <w:ilvl w:val="0"/>
          <w:numId w:val="2"/>
        </w:numPr>
        <w:ind w:left="1415" w:hanging="424"/>
      </w:pPr>
      <w:r>
        <w:rPr>
          <w:rStyle w:val="Platshllartext"/>
          <w:rFonts w:ascii="Arial" w:hAnsi="Arial"/>
          <w:color w:val="000000"/>
        </w:rPr>
        <w:t>Detaljplanen med tillhörande planhandlingar antas.</w:t>
      </w:r>
    </w:p>
    <w:p w:rsidR="00752587" w:rsidRDefault="00F412CB">
      <w:pPr>
        <w:pStyle w:val="Brdtext"/>
        <w:numPr>
          <w:ilvl w:val="0"/>
          <w:numId w:val="2"/>
        </w:numPr>
        <w:ind w:left="1415" w:hanging="424"/>
        <w:rPr>
          <w:color w:val="auto"/>
        </w:rPr>
      </w:pPr>
      <w:r>
        <w:rPr>
          <w:color w:val="auto"/>
        </w:rPr>
        <w:t>Strandskyddet upphävs inom områden med bestämmelsen a</w:t>
      </w:r>
      <w:r>
        <w:rPr>
          <w:color w:val="auto"/>
          <w:vertAlign w:val="subscript"/>
        </w:rPr>
        <w:t xml:space="preserve">1, </w:t>
      </w:r>
      <w:r>
        <w:rPr>
          <w:color w:val="auto"/>
        </w:rPr>
        <w:t>a</w:t>
      </w:r>
      <w:r>
        <w:rPr>
          <w:color w:val="auto"/>
          <w:vertAlign w:val="subscript"/>
        </w:rPr>
        <w:t xml:space="preserve">2, </w:t>
      </w:r>
      <w:r>
        <w:rPr>
          <w:color w:val="auto"/>
        </w:rPr>
        <w:t>a</w:t>
      </w:r>
      <w:r>
        <w:rPr>
          <w:color w:val="auto"/>
          <w:vertAlign w:val="subscript"/>
        </w:rPr>
        <w:t>3</w:t>
      </w:r>
      <w:r>
        <w:rPr>
          <w:color w:val="auto"/>
        </w:rPr>
        <w:t xml:space="preserve"> i plankartan.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b/>
          <w:color w:val="020000"/>
        </w:rPr>
      </w:pPr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  <w:r>
        <w:rPr>
          <w:b/>
          <w:color w:val="020000"/>
        </w:rPr>
        <w:t>Sammanfattning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F412CB">
      <w:pPr>
        <w:pStyle w:val="Brdtext"/>
        <w:ind w:left="1417"/>
        <w:rPr>
          <w:color w:val="000000" w:themeColor="text1"/>
        </w:rPr>
      </w:pPr>
      <w:r>
        <w:rPr>
          <w:color w:val="000000" w:themeColor="text1"/>
        </w:rPr>
        <w:t xml:space="preserve">Nu </w:t>
      </w:r>
      <w:r>
        <w:rPr>
          <w:color w:val="000000" w:themeColor="text1"/>
        </w:rPr>
        <w:t>gällande detaljplan från 1991 hindrar avstyckningar av öns många stora fastigheter, med absoluta tal för hur många fastigheter som får finnas inom varje delområde (”kvarter”). Inriktningen att fastigheter över 7000 m</w:t>
      </w:r>
      <w:r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 xml:space="preserve"> får styckas, ledde år 2009 till en pla</w:t>
      </w:r>
      <w:r>
        <w:rPr>
          <w:color w:val="000000" w:themeColor="text1"/>
        </w:rPr>
        <w:t xml:space="preserve">nändring för </w:t>
      </w:r>
      <w:r>
        <w:rPr>
          <w:color w:val="000000" w:themeColor="text1"/>
        </w:rPr>
        <w:br/>
        <w:t xml:space="preserve">ett par stora fastigheter på öns sydvästsida - vilket resulterat i totalt 4 nya fastigheter. </w:t>
      </w:r>
    </w:p>
    <w:p w:rsidR="00752587" w:rsidRDefault="00F412CB">
      <w:pPr>
        <w:pStyle w:val="Brdtext"/>
        <w:ind w:left="1417"/>
        <w:rPr>
          <w:color w:val="000000" w:themeColor="text1"/>
        </w:rPr>
      </w:pPr>
      <w:r>
        <w:rPr>
          <w:color w:val="000000" w:themeColor="text1"/>
        </w:rPr>
        <w:t xml:space="preserve">Ett 10-tal fastighetsägare har sedan dess ansökt om att ändra sin del av detaljplanen. </w:t>
      </w:r>
      <w:r>
        <w:rPr>
          <w:color w:val="000000" w:themeColor="text1"/>
        </w:rPr>
        <w:br/>
        <w:t>De många avstegen från planen och en ökad grad av permanentb</w:t>
      </w:r>
      <w:r>
        <w:rPr>
          <w:color w:val="000000" w:themeColor="text1"/>
        </w:rPr>
        <w:t>oende har medfört att behoven av avstyckningar och utveckling av byggrätten (120+50 m</w:t>
      </w:r>
      <w:r>
        <w:rPr>
          <w:color w:val="000000" w:themeColor="text1"/>
          <w:vertAlign w:val="superscript"/>
        </w:rPr>
        <w:t xml:space="preserve">2 </w:t>
      </w:r>
      <w:r>
        <w:rPr>
          <w:color w:val="000000" w:themeColor="text1"/>
        </w:rPr>
        <w:t>byggnadsarea) bör hanteras i ett samlat grepp om hela området. Miljö och samhällsbyggnadsnämnden gav 2016-10-18 därför förvaltningen planbesked för att ta fram en ny det</w:t>
      </w:r>
      <w:r>
        <w:rPr>
          <w:color w:val="000000" w:themeColor="text1"/>
        </w:rPr>
        <w:t xml:space="preserve">aljplan för området. </w:t>
      </w:r>
    </w:p>
    <w:p w:rsidR="00752587" w:rsidRDefault="00F412CB">
      <w:pPr>
        <w:pStyle w:val="Brdtext"/>
        <w:ind w:left="1417"/>
        <w:rPr>
          <w:color w:val="000000" w:themeColor="text1"/>
        </w:rPr>
      </w:pPr>
      <w:r>
        <w:rPr>
          <w:color w:val="000000" w:themeColor="text1"/>
        </w:rPr>
        <w:t>Samråd 2018, granskning 2019 och en ny granskning 2020 resulterade i drygt 80 yttranden till kommunen. Nämnden godkände 2020-09-29 § 77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planförslaget med tillhörande planhandlingar för antagande. </w:t>
      </w:r>
    </w:p>
    <w:p w:rsidR="00752587" w:rsidRDefault="00F412CB">
      <w:pPr>
        <w:pStyle w:val="Brdtext"/>
        <w:ind w:left="1417"/>
        <w:rPr>
          <w:color w:val="000000" w:themeColor="text1"/>
        </w:rPr>
      </w:pPr>
      <w:r>
        <w:rPr>
          <w:color w:val="000000" w:themeColor="text1"/>
        </w:rPr>
        <w:t>Alla fastighetsägare som haft önskemå</w:t>
      </w:r>
      <w:r>
        <w:rPr>
          <w:color w:val="000000" w:themeColor="text1"/>
        </w:rPr>
        <w:t xml:space="preserve">l om att avstycka sin fastighet har inte medgetts detta. Avstyckningar har vägts mot risk för </w:t>
      </w:r>
      <w:proofErr w:type="gramStart"/>
      <w:r>
        <w:rPr>
          <w:color w:val="000000" w:themeColor="text1"/>
        </w:rPr>
        <w:t>bl.a.</w:t>
      </w:r>
      <w:proofErr w:type="gramEnd"/>
      <w:r>
        <w:rPr>
          <w:color w:val="000000" w:themeColor="text1"/>
        </w:rPr>
        <w:t xml:space="preserve"> naturolyckor, ökad insyn, påverkan på naturvärden och krav på kommunal vägskötsel (om för många nya fastigheter skapas). Stora men lågt belägna fastigheter </w:t>
      </w:r>
      <w:r>
        <w:rPr>
          <w:color w:val="000000" w:themeColor="text1"/>
        </w:rPr>
        <w:t xml:space="preserve">har därför nekats avstyckning. </w:t>
      </w:r>
      <w:r>
        <w:rPr>
          <w:color w:val="000000" w:themeColor="text1"/>
        </w:rPr>
        <w:br/>
        <w:t xml:space="preserve">Efter att ha provat olika byggrätt och fastighetsstorlek är planförslagets huvuddrag följande: </w:t>
      </w:r>
    </w:p>
    <w:p w:rsidR="00752587" w:rsidRDefault="00F412CB">
      <w:pPr>
        <w:pStyle w:val="Brdtext"/>
        <w:numPr>
          <w:ilvl w:val="0"/>
          <w:numId w:val="4"/>
        </w:numPr>
        <w:ind w:left="1701" w:hanging="284"/>
        <w:rPr>
          <w:color w:val="000000" w:themeColor="text1"/>
        </w:rPr>
      </w:pPr>
      <w:r>
        <w:rPr>
          <w:color w:val="000000" w:themeColor="text1"/>
        </w:rPr>
        <w:t xml:space="preserve">Alla fastigheter ges en större byggrätt på totalt högst 15 % av fastighetens </w:t>
      </w:r>
      <w:proofErr w:type="spellStart"/>
      <w:r>
        <w:rPr>
          <w:color w:val="000000" w:themeColor="text1"/>
        </w:rPr>
        <w:t>landarea</w:t>
      </w:r>
      <w:proofErr w:type="spellEnd"/>
      <w:r>
        <w:rPr>
          <w:color w:val="000000" w:themeColor="text1"/>
        </w:rPr>
        <w:t xml:space="preserve"> utom öar (maximalt 260 m2), varav max </w:t>
      </w:r>
      <w:r>
        <w:rPr>
          <w:color w:val="000000" w:themeColor="text1"/>
        </w:rPr>
        <w:t>150 m2 huvudbyggnad. Huvudbyggnader upp-förda innan år 1990 får till högst 70 m2 räknas in i byggrättens komplementbyggnads-area; i syfte att öka möjligheterna att bebygga fastigheterna utan att först behöva riva äldre byggelse. Kvartersmark för bostäder h</w:t>
      </w:r>
      <w:r>
        <w:rPr>
          <w:color w:val="000000" w:themeColor="text1"/>
        </w:rPr>
        <w:t xml:space="preserve">ar fått mer </w:t>
      </w:r>
      <w:proofErr w:type="spellStart"/>
      <w:r>
        <w:rPr>
          <w:color w:val="000000" w:themeColor="text1"/>
        </w:rPr>
        <w:t>prickmark</w:t>
      </w:r>
      <w:proofErr w:type="spellEnd"/>
      <w:r>
        <w:rPr>
          <w:color w:val="000000" w:themeColor="text1"/>
        </w:rPr>
        <w:t xml:space="preserve"> till fördel för grönska och naturvärden. Krav införs på +2,2m som lägsta grundläggningsnivå för bostadshus.</w:t>
      </w:r>
    </w:p>
    <w:p w:rsidR="00752587" w:rsidRDefault="00F412CB">
      <w:pPr>
        <w:pStyle w:val="Brdtext"/>
        <w:numPr>
          <w:ilvl w:val="0"/>
          <w:numId w:val="4"/>
        </w:numPr>
        <w:ind w:left="1701" w:hanging="284"/>
        <w:rPr>
          <w:color w:val="000000" w:themeColor="text1"/>
        </w:rPr>
      </w:pPr>
      <w:r>
        <w:rPr>
          <w:color w:val="000000" w:themeColor="text1"/>
        </w:rPr>
        <w:t>36 nya möjliga fastigheter (7 befintliga) genom att 31 fastigheter (23 %) ges möjlighet till avstyckningar. En ökning av antal</w:t>
      </w:r>
      <w:r>
        <w:rPr>
          <w:color w:val="000000" w:themeColor="text1"/>
        </w:rPr>
        <w:t>et möjliga fastigheter med en femtedel, till totalt 172.</w:t>
      </w:r>
    </w:p>
    <w:p w:rsidR="00752587" w:rsidRDefault="00F412CB">
      <w:pPr>
        <w:pStyle w:val="Brdtext"/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  <w:r>
        <w:rPr>
          <w:color w:val="000000" w:themeColor="text1"/>
        </w:rPr>
        <w:t xml:space="preserve">Krav på geoteknisk utredning har inte bemötts. Kommunen kan därtill behöva redogöra för hur och när </w:t>
      </w:r>
      <w:proofErr w:type="spellStart"/>
      <w:r>
        <w:rPr>
          <w:color w:val="000000" w:themeColor="text1"/>
        </w:rPr>
        <w:t>Jogersövägen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klimatanpassas</w:t>
      </w:r>
      <w:proofErr w:type="spellEnd"/>
      <w:r>
        <w:rPr>
          <w:color w:val="000000" w:themeColor="text1"/>
        </w:rPr>
        <w:t xml:space="preserve"> för att få igenom planen. Utredning är beställd.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b/>
          <w:color w:val="020000"/>
        </w:rPr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b/>
          <w:color w:val="020000"/>
        </w:rPr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b/>
          <w:color w:val="020000"/>
        </w:rPr>
      </w:pPr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  <w:r>
        <w:rPr>
          <w:b/>
          <w:color w:val="020000"/>
        </w:rPr>
        <w:t>Beslutsunderlag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bookmarkStart w:id="4" w:name="b_7"/>
      <w:r>
        <w:t>Protokoll 2020-10-21 - Ks § 144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r>
        <w:lastRenderedPageBreak/>
        <w:t xml:space="preserve">Tjänsteskrivelse för detaljplan för Östra - och södra Jogersö - Antagande </w:t>
      </w:r>
      <w:proofErr w:type="spellStart"/>
      <w:r>
        <w:t>Kf</w:t>
      </w:r>
      <w:proofErr w:type="spellEnd"/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r>
        <w:t xml:space="preserve">Protokoll 2020-09-29 - </w:t>
      </w:r>
      <w:proofErr w:type="spellStart"/>
      <w:r>
        <w:t>Msn</w:t>
      </w:r>
      <w:proofErr w:type="spellEnd"/>
      <w:r>
        <w:t xml:space="preserve"> § 77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r>
        <w:t>Granskningsutlåtande 1+2_Dp Jogersö_antagandehandling_2020-09-18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r>
        <w:t xml:space="preserve">Plankarta </w:t>
      </w:r>
      <w:proofErr w:type="spellStart"/>
      <w:r>
        <w:t>Dp</w:t>
      </w:r>
      <w:proofErr w:type="spellEnd"/>
      <w:r>
        <w:t xml:space="preserve"> Jogersö - Östra delen</w:t>
      </w:r>
      <w:r>
        <w:t>_antagandehandling_2020-09-18 - korr av teckenförklaring och rithuvud.pdf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r>
        <w:t xml:space="preserve">Plankarta </w:t>
      </w:r>
      <w:proofErr w:type="spellStart"/>
      <w:r>
        <w:t>Dp</w:t>
      </w:r>
      <w:proofErr w:type="spellEnd"/>
      <w:r>
        <w:t xml:space="preserve"> Jogersö - Södra delen_antagandehandling_2020-09-18 - korr av teckenförklaring och rithuvud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proofErr w:type="spellStart"/>
      <w:r>
        <w:t>Planbeskrivning_Dp</w:t>
      </w:r>
      <w:proofErr w:type="spellEnd"/>
      <w:r>
        <w:t xml:space="preserve"> Jogersö_antagandehandling_2020-09-18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proofErr w:type="spellStart"/>
      <w:r>
        <w:t>Jogersö_dagvattenutred</w:t>
      </w:r>
      <w:r>
        <w:t>ning_rev</w:t>
      </w:r>
      <w:proofErr w:type="spellEnd"/>
      <w:r>
        <w:t xml:space="preserve"> </w:t>
      </w:r>
      <w:proofErr w:type="gramStart"/>
      <w:r>
        <w:t>190502</w:t>
      </w:r>
      <w:proofErr w:type="gramEnd"/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r>
        <w:t xml:space="preserve">Arkeologisk </w:t>
      </w:r>
      <w:proofErr w:type="spellStart"/>
      <w:r>
        <w:t>utredning_Stenvikshöjden</w:t>
      </w:r>
      <w:proofErr w:type="spellEnd"/>
      <w:r>
        <w:t>-Jogersö (Rapport_2017_13)</w:t>
      </w:r>
    </w:p>
    <w:p w:rsidR="00752587" w:rsidRDefault="00F412CB">
      <w:pPr>
        <w:tabs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36"/>
        </w:tabs>
        <w:ind w:left="1418"/>
      </w:pPr>
      <w:r>
        <w:t>Naturinventering Jogersö - rapport (Leverans från Hans Rydberg 2019-05-20)</w:t>
      </w:r>
      <w:bookmarkEnd w:id="4"/>
      <w:r>
        <w:t xml:space="preserve"> 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  <w:bookmarkStart w:id="5" w:name="_dx_frag_StartFragment"/>
      <w:bookmarkEnd w:id="5"/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  <w:r>
        <w:rPr>
          <w:b/>
          <w:color w:val="020000"/>
          <w:u w:val="single"/>
        </w:rPr>
        <w:t>Dagens sammanträde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  <w:r>
        <w:rPr>
          <w:b/>
          <w:color w:val="020000"/>
          <w:lang w:eastAsia="sv-SE" w:bidi="sv-SE"/>
        </w:rPr>
        <w:t xml:space="preserve">Kommunstyrelsens </w:t>
      </w:r>
      <w:r>
        <w:rPr>
          <w:b/>
          <w:color w:val="020000"/>
        </w:rPr>
        <w:t>förslag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F412CB">
      <w:pPr>
        <w:pStyle w:val="Brdtext"/>
        <w:numPr>
          <w:ilvl w:val="0"/>
          <w:numId w:val="3"/>
        </w:numPr>
        <w:ind w:left="1415" w:hanging="283"/>
      </w:pPr>
      <w:r>
        <w:rPr>
          <w:rStyle w:val="Platshllartext"/>
          <w:rFonts w:ascii="Arial" w:hAnsi="Arial"/>
          <w:color w:val="000000"/>
        </w:rPr>
        <w:t xml:space="preserve">Detaljplanen med tillhörande </w:t>
      </w:r>
      <w:r>
        <w:rPr>
          <w:rStyle w:val="Platshllartext"/>
          <w:rFonts w:ascii="Arial" w:hAnsi="Arial"/>
          <w:color w:val="000000"/>
        </w:rPr>
        <w:t>planhandlingar antas.</w:t>
      </w:r>
    </w:p>
    <w:p w:rsidR="00752587" w:rsidRDefault="00F412CB">
      <w:pPr>
        <w:pStyle w:val="Brdtext"/>
        <w:numPr>
          <w:ilvl w:val="0"/>
          <w:numId w:val="3"/>
        </w:numPr>
        <w:ind w:left="1415" w:hanging="283"/>
        <w:rPr>
          <w:color w:val="auto"/>
        </w:rPr>
      </w:pPr>
      <w:r>
        <w:rPr>
          <w:color w:val="auto"/>
        </w:rPr>
        <w:t>Strandskyddet upphävs inom områden med bestämmelsen a</w:t>
      </w:r>
      <w:r>
        <w:rPr>
          <w:color w:val="auto"/>
          <w:vertAlign w:val="subscript"/>
        </w:rPr>
        <w:t xml:space="preserve">1, </w:t>
      </w:r>
      <w:r>
        <w:rPr>
          <w:color w:val="auto"/>
        </w:rPr>
        <w:t>a</w:t>
      </w:r>
      <w:r>
        <w:rPr>
          <w:color w:val="auto"/>
          <w:vertAlign w:val="subscript"/>
        </w:rPr>
        <w:t xml:space="preserve">2, </w:t>
      </w:r>
      <w:r>
        <w:rPr>
          <w:color w:val="auto"/>
        </w:rPr>
        <w:t>a</w:t>
      </w:r>
      <w:r>
        <w:rPr>
          <w:color w:val="auto"/>
          <w:vertAlign w:val="subscript"/>
        </w:rPr>
        <w:t>3</w:t>
      </w:r>
      <w:r>
        <w:rPr>
          <w:color w:val="auto"/>
        </w:rPr>
        <w:t xml:space="preserve"> i plankartan.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850"/>
        <w:rPr>
          <w:color w:val="020000"/>
        </w:rPr>
      </w:pPr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593"/>
        <w:rPr>
          <w:lang w:eastAsia="sv-SE" w:bidi="sv-SE"/>
        </w:rPr>
      </w:pPr>
      <w:r>
        <w:rPr>
          <w:lang w:eastAsia="sv-SE" w:bidi="sv-SE"/>
        </w:rPr>
        <w:t>______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593"/>
        <w:rPr>
          <w:b/>
        </w:rPr>
      </w:pPr>
    </w:p>
    <w:p w:rsidR="00752587" w:rsidRDefault="00F412CB">
      <w:pPr>
        <w:tabs>
          <w:tab w:val="center" w:pos="0"/>
          <w:tab w:val="left" w:pos="256"/>
          <w:tab w:val="left" w:pos="5103"/>
        </w:tabs>
        <w:ind w:left="1417" w:right="593"/>
      </w:pPr>
      <w:r>
        <w:t>Beslut till:</w:t>
      </w:r>
    </w:p>
    <w:p w:rsidR="00752587" w:rsidRDefault="00F412CB">
      <w:pPr>
        <w:pStyle w:val="Brdtext"/>
        <w:ind w:left="1417"/>
        <w:rPr>
          <w:color w:val="auto"/>
        </w:rPr>
      </w:pPr>
      <w:r>
        <w:rPr>
          <w:rStyle w:val="Platshllartext"/>
          <w:rFonts w:ascii="Arial" w:hAnsi="Arial"/>
          <w:color w:val="auto"/>
        </w:rPr>
        <w:t>Miljö- och samhällsbyggnadsförvaltningen för åtgärd</w:t>
      </w: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593"/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593"/>
      </w:pPr>
    </w:p>
    <w:p w:rsidR="00752587" w:rsidRDefault="00752587">
      <w:pPr>
        <w:tabs>
          <w:tab w:val="center" w:pos="0"/>
          <w:tab w:val="left" w:pos="256"/>
          <w:tab w:val="left" w:pos="5103"/>
        </w:tabs>
        <w:ind w:left="1417" w:right="593"/>
      </w:pPr>
    </w:p>
    <w:sectPr w:rsidR="007525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098" w:right="397" w:bottom="284" w:left="1134" w:header="56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412CB">
      <w:r>
        <w:separator/>
      </w:r>
    </w:p>
  </w:endnote>
  <w:endnote w:type="continuationSeparator" w:id="0">
    <w:p w:rsidR="00000000" w:rsidRDefault="00F4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87" w:rsidRDefault="0075258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675"/>
      <w:gridCol w:w="1675"/>
      <w:gridCol w:w="1457"/>
      <w:gridCol w:w="4125"/>
    </w:tblGrid>
    <w:tr w:rsidR="00752587">
      <w:trPr>
        <w:cantSplit/>
      </w:trPr>
      <w:tc>
        <w:tcPr>
          <w:tcW w:w="1675" w:type="dxa"/>
          <w:tcBorders>
            <w:top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675" w:type="dxa"/>
          <w:tcBorders>
            <w:top w:val="single" w:sz="0" w:space="0" w:color="000000"/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457" w:type="dxa"/>
          <w:tcBorders>
            <w:top w:val="single" w:sz="0" w:space="0" w:color="000000"/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4125" w:type="dxa"/>
          <w:tcBorders>
            <w:top w:val="single" w:sz="0" w:space="0" w:color="000000"/>
            <w:left w:val="single" w:sz="0" w:space="0" w:color="000000"/>
          </w:tcBorders>
        </w:tcPr>
        <w:p w:rsidR="00752587" w:rsidRDefault="00F412CB">
          <w:pPr>
            <w:pStyle w:val="Sidfot"/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  <w:tr w:rsidR="00752587">
      <w:trPr>
        <w:cantSplit/>
      </w:trPr>
      <w:tc>
        <w:tcPr>
          <w:tcW w:w="1675" w:type="dxa"/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67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457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412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</w:tr>
    <w:tr w:rsidR="00752587">
      <w:trPr>
        <w:cantSplit/>
      </w:trPr>
      <w:tc>
        <w:tcPr>
          <w:tcW w:w="1675" w:type="dxa"/>
        </w:tcPr>
        <w:p w:rsidR="00752587" w:rsidRDefault="00752587">
          <w:pPr>
            <w:pStyle w:val="Sidfot"/>
            <w:tabs>
              <w:tab w:val="clear" w:pos="4536"/>
            </w:tabs>
            <w:rPr>
              <w:sz w:val="16"/>
            </w:rPr>
          </w:pPr>
        </w:p>
      </w:tc>
      <w:tc>
        <w:tcPr>
          <w:tcW w:w="167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457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412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</w:tr>
  </w:tbl>
  <w:p w:rsidR="00752587" w:rsidRDefault="0075258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675"/>
      <w:gridCol w:w="1675"/>
      <w:gridCol w:w="1457"/>
      <w:gridCol w:w="4125"/>
    </w:tblGrid>
    <w:tr w:rsidR="00752587">
      <w:trPr>
        <w:cantSplit/>
      </w:trPr>
      <w:tc>
        <w:tcPr>
          <w:tcW w:w="1675" w:type="dxa"/>
          <w:tcBorders>
            <w:top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675" w:type="dxa"/>
          <w:tcBorders>
            <w:top w:val="single" w:sz="0" w:space="0" w:color="000000"/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457" w:type="dxa"/>
          <w:tcBorders>
            <w:top w:val="single" w:sz="0" w:space="0" w:color="000000"/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4125" w:type="dxa"/>
          <w:tcBorders>
            <w:top w:val="single" w:sz="0" w:space="0" w:color="000000"/>
            <w:left w:val="single" w:sz="0" w:space="0" w:color="000000"/>
          </w:tcBorders>
        </w:tcPr>
        <w:p w:rsidR="00752587" w:rsidRDefault="00F412CB">
          <w:pPr>
            <w:pStyle w:val="Sidfot"/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  <w:tr w:rsidR="00752587">
      <w:trPr>
        <w:cantSplit/>
      </w:trPr>
      <w:tc>
        <w:tcPr>
          <w:tcW w:w="1675" w:type="dxa"/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67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457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412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</w:tr>
    <w:tr w:rsidR="00752587">
      <w:trPr>
        <w:cantSplit/>
      </w:trPr>
      <w:tc>
        <w:tcPr>
          <w:tcW w:w="1675" w:type="dxa"/>
        </w:tcPr>
        <w:p w:rsidR="00752587" w:rsidRDefault="00752587">
          <w:pPr>
            <w:pStyle w:val="Sidfot"/>
            <w:tabs>
              <w:tab w:val="clear" w:pos="4536"/>
            </w:tabs>
            <w:rPr>
              <w:sz w:val="16"/>
            </w:rPr>
          </w:pPr>
        </w:p>
      </w:tc>
      <w:tc>
        <w:tcPr>
          <w:tcW w:w="167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1457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  <w:tc>
        <w:tcPr>
          <w:tcW w:w="4125" w:type="dxa"/>
          <w:tcBorders>
            <w:left w:val="single" w:sz="0" w:space="0" w:color="000000"/>
          </w:tcBorders>
        </w:tcPr>
        <w:p w:rsidR="00752587" w:rsidRDefault="00752587">
          <w:pPr>
            <w:pStyle w:val="Sidfot"/>
            <w:rPr>
              <w:sz w:val="16"/>
            </w:rPr>
          </w:pPr>
        </w:p>
      </w:tc>
    </w:tr>
  </w:tbl>
  <w:p w:rsidR="00752587" w:rsidRDefault="0075258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412CB">
      <w:r>
        <w:separator/>
      </w:r>
    </w:p>
  </w:footnote>
  <w:footnote w:type="continuationSeparator" w:id="0">
    <w:p w:rsidR="00000000" w:rsidRDefault="00F4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587" w:rsidRDefault="007525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3" w:type="dxa"/>
      <w:tblInd w:w="-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7"/>
      <w:gridCol w:w="3956"/>
      <w:gridCol w:w="1320"/>
    </w:tblGrid>
    <w:tr w:rsidR="00752587">
      <w:trPr>
        <w:cantSplit/>
      </w:trPr>
      <w:tc>
        <w:tcPr>
          <w:tcW w:w="5117" w:type="dxa"/>
          <w:vMerge w:val="restart"/>
        </w:tcPr>
        <w:p w:rsidR="00752587" w:rsidRDefault="00F412CB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161540" cy="498475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 dpi="0"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5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752587" w:rsidRDefault="00F412CB">
          <w:pPr>
            <w:pStyle w:val="Sidhuvud"/>
            <w:rPr>
              <w:b/>
            </w:rPr>
          </w:pPr>
          <w:r>
            <w:rPr>
              <w:b/>
            </w:rPr>
            <w:t>Sammanträdesprotokoll</w:t>
          </w:r>
        </w:p>
      </w:tc>
      <w:tc>
        <w:tcPr>
          <w:tcW w:w="1320" w:type="dxa"/>
        </w:tcPr>
        <w:p w:rsidR="00752587" w:rsidRDefault="00F412CB">
          <w:pPr>
            <w:pStyle w:val="Sidhuvud"/>
          </w:pPr>
          <w:r>
            <w:t xml:space="preserve">Blad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#</w:t>
          </w:r>
          <w:r>
            <w:fldChar w:fldCharType="end"/>
          </w:r>
          <w:r>
            <w:t xml:space="preserve"> </w:t>
          </w:r>
        </w:p>
      </w:tc>
    </w:tr>
    <w:tr w:rsidR="00752587">
      <w:trPr>
        <w:cantSplit/>
        <w:trHeight w:val="263"/>
      </w:trPr>
      <w:tc>
        <w:tcPr>
          <w:tcW w:w="5117" w:type="dxa"/>
          <w:vMerge/>
        </w:tcPr>
        <w:p w:rsidR="00752587" w:rsidRDefault="00752587">
          <w:pPr>
            <w:pStyle w:val="Sidhuvud"/>
          </w:pPr>
        </w:p>
      </w:tc>
      <w:tc>
        <w:tcPr>
          <w:tcW w:w="3956" w:type="dxa"/>
        </w:tcPr>
        <w:p w:rsidR="00752587" w:rsidRDefault="00752587">
          <w:pPr>
            <w:pStyle w:val="Sidhuvud"/>
          </w:pPr>
        </w:p>
      </w:tc>
      <w:tc>
        <w:tcPr>
          <w:tcW w:w="1320" w:type="dxa"/>
          <w:vMerge w:val="restart"/>
        </w:tcPr>
        <w:p w:rsidR="00752587" w:rsidRDefault="00752587">
          <w:pPr>
            <w:pStyle w:val="Sidhuvud"/>
          </w:pPr>
        </w:p>
      </w:tc>
    </w:tr>
    <w:tr w:rsidR="00752587">
      <w:trPr>
        <w:cantSplit/>
        <w:trHeight w:val="262"/>
      </w:trPr>
      <w:tc>
        <w:tcPr>
          <w:tcW w:w="5117" w:type="dxa"/>
          <w:vMerge/>
        </w:tcPr>
        <w:p w:rsidR="00752587" w:rsidRDefault="00752587">
          <w:pPr>
            <w:pStyle w:val="Sidhuvud"/>
          </w:pPr>
        </w:p>
      </w:tc>
      <w:tc>
        <w:tcPr>
          <w:tcW w:w="3956" w:type="dxa"/>
          <w:vAlign w:val="bottom"/>
        </w:tcPr>
        <w:p w:rsidR="00752587" w:rsidRDefault="00F412CB">
          <w:pPr>
            <w:pStyle w:val="Sidhuvud"/>
            <w:rPr>
              <w:sz w:val="14"/>
            </w:rPr>
          </w:pPr>
          <w:r>
            <w:rPr>
              <w:sz w:val="14"/>
            </w:rPr>
            <w:t>Sammanträdesdatum</w:t>
          </w:r>
        </w:p>
      </w:tc>
      <w:tc>
        <w:tcPr>
          <w:tcW w:w="1320" w:type="dxa"/>
          <w:vMerge/>
        </w:tcPr>
        <w:p w:rsidR="00752587" w:rsidRDefault="00752587">
          <w:pPr>
            <w:pStyle w:val="Sidhuvud"/>
          </w:pPr>
        </w:p>
      </w:tc>
    </w:tr>
    <w:tr w:rsidR="00752587">
      <w:trPr>
        <w:cantSplit/>
        <w:trHeight w:val="454"/>
      </w:trPr>
      <w:tc>
        <w:tcPr>
          <w:tcW w:w="5117" w:type="dxa"/>
        </w:tcPr>
        <w:p w:rsidR="00752587" w:rsidRDefault="00752587">
          <w:pPr>
            <w:pStyle w:val="Sidhuvud"/>
          </w:pPr>
        </w:p>
        <w:p w:rsidR="00752587" w:rsidRDefault="00F412CB">
          <w:pPr>
            <w:pStyle w:val="Sidhuvud"/>
            <w:rPr>
              <w:b/>
            </w:rPr>
          </w:pPr>
          <w:bookmarkStart w:id="6" w:name="b_12"/>
          <w:r>
            <w:t>Kommunfullmäktige</w:t>
          </w:r>
          <w:bookmarkEnd w:id="6"/>
          <w:r>
            <w:t xml:space="preserve"> </w:t>
          </w:r>
        </w:p>
      </w:tc>
      <w:tc>
        <w:tcPr>
          <w:tcW w:w="3956" w:type="dxa"/>
          <w:vAlign w:val="bottom"/>
        </w:tcPr>
        <w:p w:rsidR="00752587" w:rsidRDefault="00F412CB">
          <w:pPr>
            <w:pStyle w:val="Sidhuvud"/>
            <w:rPr>
              <w:b/>
            </w:rPr>
          </w:pPr>
          <w:bookmarkStart w:id="7" w:name="b_13"/>
          <w:r>
            <w:t>2020-11-11</w:t>
          </w:r>
          <w:bookmarkEnd w:id="7"/>
          <w:r>
            <w:t xml:space="preserve"> </w:t>
          </w:r>
        </w:p>
      </w:tc>
      <w:tc>
        <w:tcPr>
          <w:tcW w:w="1320" w:type="dxa"/>
        </w:tcPr>
        <w:p w:rsidR="00752587" w:rsidRDefault="00752587">
          <w:pPr>
            <w:pStyle w:val="Sidhuvud"/>
          </w:pPr>
        </w:p>
      </w:tc>
    </w:tr>
  </w:tbl>
  <w:p w:rsidR="00752587" w:rsidRDefault="00752587">
    <w:pPr>
      <w:pStyle w:val="Sidhuvud"/>
    </w:pPr>
  </w:p>
  <w:p w:rsidR="00752587" w:rsidRDefault="0075258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93" w:type="dxa"/>
      <w:tblInd w:w="-5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17"/>
      <w:gridCol w:w="3956"/>
      <w:gridCol w:w="1320"/>
    </w:tblGrid>
    <w:tr w:rsidR="00752587">
      <w:trPr>
        <w:cantSplit/>
      </w:trPr>
      <w:tc>
        <w:tcPr>
          <w:tcW w:w="5117" w:type="dxa"/>
          <w:vMerge w:val="restart"/>
        </w:tcPr>
        <w:p w:rsidR="00752587" w:rsidRDefault="00F412CB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2161540" cy="498475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dpi="0"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54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6" w:type="dxa"/>
        </w:tcPr>
        <w:p w:rsidR="00752587" w:rsidRDefault="00F412CB">
          <w:pPr>
            <w:pStyle w:val="Sidhuvud"/>
            <w:rPr>
              <w:b/>
            </w:rPr>
          </w:pPr>
          <w:r>
            <w:rPr>
              <w:b/>
            </w:rPr>
            <w:t>Sammanträdesprotokoll</w:t>
          </w:r>
        </w:p>
      </w:tc>
      <w:tc>
        <w:tcPr>
          <w:tcW w:w="1320" w:type="dxa"/>
        </w:tcPr>
        <w:p w:rsidR="00752587" w:rsidRDefault="00F412CB">
          <w:pPr>
            <w:pStyle w:val="Sidhuvud"/>
          </w:pPr>
          <w:r>
            <w:t xml:space="preserve">Blad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#</w:t>
          </w:r>
          <w:r>
            <w:fldChar w:fldCharType="end"/>
          </w:r>
          <w: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#</w:t>
          </w:r>
          <w:r>
            <w:rPr>
              <w:rStyle w:val="Sidnummer"/>
            </w:rPr>
            <w:fldChar w:fldCharType="end"/>
          </w:r>
          <w:r>
            <w:t>)</w:t>
          </w:r>
        </w:p>
      </w:tc>
    </w:tr>
    <w:tr w:rsidR="00752587">
      <w:trPr>
        <w:cantSplit/>
        <w:trHeight w:val="263"/>
      </w:trPr>
      <w:tc>
        <w:tcPr>
          <w:tcW w:w="5117" w:type="dxa"/>
          <w:vMerge/>
        </w:tcPr>
        <w:p w:rsidR="00752587" w:rsidRDefault="00752587">
          <w:pPr>
            <w:pStyle w:val="Sidhuvud"/>
          </w:pPr>
        </w:p>
      </w:tc>
      <w:tc>
        <w:tcPr>
          <w:tcW w:w="3956" w:type="dxa"/>
        </w:tcPr>
        <w:p w:rsidR="00752587" w:rsidRDefault="00752587">
          <w:pPr>
            <w:pStyle w:val="Sidhuvud"/>
          </w:pPr>
        </w:p>
      </w:tc>
      <w:tc>
        <w:tcPr>
          <w:tcW w:w="1320" w:type="dxa"/>
          <w:vMerge w:val="restart"/>
        </w:tcPr>
        <w:p w:rsidR="00752587" w:rsidRDefault="00752587">
          <w:pPr>
            <w:pStyle w:val="Sidhuvud"/>
          </w:pPr>
        </w:p>
      </w:tc>
    </w:tr>
    <w:tr w:rsidR="00752587">
      <w:trPr>
        <w:cantSplit/>
        <w:trHeight w:val="262"/>
      </w:trPr>
      <w:tc>
        <w:tcPr>
          <w:tcW w:w="5117" w:type="dxa"/>
          <w:vMerge/>
        </w:tcPr>
        <w:p w:rsidR="00752587" w:rsidRDefault="00752587">
          <w:pPr>
            <w:pStyle w:val="Sidhuvud"/>
          </w:pPr>
        </w:p>
      </w:tc>
      <w:tc>
        <w:tcPr>
          <w:tcW w:w="3956" w:type="dxa"/>
          <w:vAlign w:val="bottom"/>
        </w:tcPr>
        <w:p w:rsidR="00752587" w:rsidRDefault="00F412CB">
          <w:pPr>
            <w:pStyle w:val="Sidhuvud"/>
            <w:rPr>
              <w:sz w:val="16"/>
            </w:rPr>
          </w:pPr>
          <w:r>
            <w:rPr>
              <w:sz w:val="16"/>
            </w:rPr>
            <w:t>Sammanträdesdatum</w:t>
          </w:r>
        </w:p>
      </w:tc>
      <w:tc>
        <w:tcPr>
          <w:tcW w:w="1320" w:type="dxa"/>
          <w:vMerge/>
        </w:tcPr>
        <w:p w:rsidR="00752587" w:rsidRDefault="00752587">
          <w:pPr>
            <w:pStyle w:val="Sidhuvud"/>
          </w:pPr>
        </w:p>
      </w:tc>
    </w:tr>
    <w:tr w:rsidR="00752587">
      <w:trPr>
        <w:cantSplit/>
        <w:trHeight w:val="248"/>
      </w:trPr>
      <w:tc>
        <w:tcPr>
          <w:tcW w:w="5117" w:type="dxa"/>
          <w:vMerge w:val="restart"/>
        </w:tcPr>
        <w:p w:rsidR="00752587" w:rsidRDefault="00752587">
          <w:pPr>
            <w:pStyle w:val="Sidhuvud"/>
            <w:rPr>
              <w:b/>
            </w:rPr>
          </w:pPr>
        </w:p>
        <w:p w:rsidR="00752587" w:rsidRDefault="00F412CB">
          <w:pPr>
            <w:tabs>
              <w:tab w:val="left" w:pos="1304"/>
              <w:tab w:val="left" w:pos="2608"/>
              <w:tab w:val="left" w:pos="3912"/>
              <w:tab w:val="left" w:pos="5216"/>
              <w:tab w:val="left" w:pos="6520"/>
              <w:tab w:val="left" w:pos="7824"/>
              <w:tab w:val="left" w:pos="9128"/>
              <w:tab w:val="left" w:pos="10432"/>
              <w:tab w:val="left" w:pos="11736"/>
              <w:tab w:val="left" w:pos="13040"/>
              <w:tab w:val="left" w:pos="14344"/>
              <w:tab w:val="left" w:pos="15648"/>
              <w:tab w:val="left" w:pos="16952"/>
              <w:tab w:val="left" w:pos="18256"/>
            </w:tabs>
            <w:ind w:left="17"/>
            <w:rPr>
              <w:b/>
            </w:rPr>
          </w:pPr>
          <w:bookmarkStart w:id="8" w:name="b_9"/>
          <w:r>
            <w:t>Kommunfullmäktige</w:t>
          </w:r>
          <w:bookmarkEnd w:id="8"/>
          <w:r>
            <w:t xml:space="preserve">   </w:t>
          </w:r>
        </w:p>
      </w:tc>
      <w:tc>
        <w:tcPr>
          <w:tcW w:w="3956" w:type="dxa"/>
          <w:vAlign w:val="bottom"/>
        </w:tcPr>
        <w:p w:rsidR="00752587" w:rsidRDefault="00752587">
          <w:pPr>
            <w:pStyle w:val="Sidhuvud"/>
            <w:rPr>
              <w:b/>
              <w:sz w:val="18"/>
            </w:rPr>
          </w:pPr>
        </w:p>
      </w:tc>
      <w:tc>
        <w:tcPr>
          <w:tcW w:w="1320" w:type="dxa"/>
          <w:vMerge w:val="restart"/>
        </w:tcPr>
        <w:p w:rsidR="00752587" w:rsidRDefault="00752587">
          <w:pPr>
            <w:pStyle w:val="Sidhuvud"/>
          </w:pPr>
        </w:p>
      </w:tc>
    </w:tr>
    <w:tr w:rsidR="00752587">
      <w:trPr>
        <w:cantSplit/>
        <w:trHeight w:val="247"/>
      </w:trPr>
      <w:tc>
        <w:tcPr>
          <w:tcW w:w="5117" w:type="dxa"/>
          <w:vMerge/>
        </w:tcPr>
        <w:p w:rsidR="00752587" w:rsidRDefault="00752587">
          <w:pPr>
            <w:pStyle w:val="Sidhuvud"/>
            <w:rPr>
              <w:b/>
            </w:rPr>
          </w:pPr>
        </w:p>
      </w:tc>
      <w:tc>
        <w:tcPr>
          <w:tcW w:w="3956" w:type="dxa"/>
          <w:vAlign w:val="bottom"/>
        </w:tcPr>
        <w:p w:rsidR="00752587" w:rsidRDefault="00F412CB">
          <w:pPr>
            <w:pStyle w:val="Sidhuvud"/>
            <w:rPr>
              <w:b/>
            </w:rPr>
          </w:pPr>
          <w:bookmarkStart w:id="9" w:name="b_0"/>
          <w:r>
            <w:t>2020-11-11</w:t>
          </w:r>
          <w:bookmarkEnd w:id="9"/>
          <w:r>
            <w:t xml:space="preserve">  </w:t>
          </w:r>
        </w:p>
      </w:tc>
      <w:tc>
        <w:tcPr>
          <w:tcW w:w="1320" w:type="dxa"/>
          <w:vMerge/>
        </w:tcPr>
        <w:p w:rsidR="00752587" w:rsidRDefault="00752587">
          <w:pPr>
            <w:pStyle w:val="Sidhuvud"/>
          </w:pPr>
        </w:p>
      </w:tc>
    </w:tr>
  </w:tbl>
  <w:p w:rsidR="00752587" w:rsidRDefault="0075258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87E7F00"/>
    <w:lvl w:ilvl="0">
      <w:start w:val="1"/>
      <w:numFmt w:val="decimal"/>
      <w:pStyle w:val="Rubrik1"/>
      <w:lvlText w:val="Ärende nr %1"/>
      <w:lvlJc w:val="left"/>
      <w:pPr>
        <w:ind w:left="0" w:firstLine="0"/>
      </w:pPr>
      <w:rPr>
        <w:rFonts w:ascii="Arial" w:hAnsi="Arial"/>
        <w:b w:val="0"/>
        <w:i w:val="0"/>
      </w:rPr>
    </w:lvl>
    <w:lvl w:ilvl="1">
      <w:start w:val="1"/>
      <w:numFmt w:val="decimal"/>
      <w:pStyle w:val="Rubrik2"/>
      <w:lvlText w:val="%1.%2"/>
      <w:lvlJc w:val="left"/>
      <w:pPr>
        <w:ind w:left="431" w:hanging="431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39BBF8F"/>
    <w:multiLevelType w:val="hybridMultilevel"/>
    <w:tmpl w:val="0D1C35BC"/>
    <w:lvl w:ilvl="0" w:tplc="438AE310">
      <w:start w:val="1"/>
      <w:numFmt w:val="decimal"/>
      <w:lvlText w:val="%1."/>
      <w:lvlJc w:val="left"/>
      <w:pPr>
        <w:ind w:left="720" w:hanging="652"/>
      </w:pPr>
    </w:lvl>
    <w:lvl w:ilvl="1" w:tplc="51692D09">
      <w:start w:val="1"/>
      <w:numFmt w:val="decimal"/>
      <w:lvlText w:val="%2."/>
      <w:lvlJc w:val="left"/>
      <w:pPr>
        <w:ind w:left="1440" w:hanging="652"/>
      </w:pPr>
    </w:lvl>
    <w:lvl w:ilvl="2" w:tplc="6AA36F1A">
      <w:start w:val="1"/>
      <w:numFmt w:val="decimal"/>
      <w:lvlText w:val="%3."/>
      <w:lvlJc w:val="left"/>
      <w:pPr>
        <w:ind w:left="2160" w:hanging="652"/>
      </w:pPr>
    </w:lvl>
    <w:lvl w:ilvl="3" w:tplc="754BE1EF">
      <w:start w:val="1"/>
      <w:numFmt w:val="decimal"/>
      <w:lvlText w:val="%4."/>
      <w:lvlJc w:val="left"/>
      <w:pPr>
        <w:ind w:left="2880" w:hanging="652"/>
      </w:pPr>
    </w:lvl>
    <w:lvl w:ilvl="4" w:tplc="5A21725D">
      <w:start w:val="1"/>
      <w:numFmt w:val="decimal"/>
      <w:lvlText w:val="%5."/>
      <w:lvlJc w:val="left"/>
      <w:pPr>
        <w:ind w:left="3600" w:hanging="652"/>
      </w:pPr>
    </w:lvl>
    <w:lvl w:ilvl="5" w:tplc="7CCDAD02">
      <w:start w:val="1"/>
      <w:numFmt w:val="decimal"/>
      <w:lvlText w:val="%6."/>
      <w:lvlJc w:val="left"/>
      <w:pPr>
        <w:ind w:left="4320" w:hanging="652"/>
      </w:pPr>
    </w:lvl>
    <w:lvl w:ilvl="6" w:tplc="17FC5B5A">
      <w:start w:val="1"/>
      <w:numFmt w:val="decimal"/>
      <w:lvlText w:val="%7."/>
      <w:lvlJc w:val="left"/>
      <w:pPr>
        <w:ind w:left="5040" w:hanging="652"/>
      </w:pPr>
    </w:lvl>
    <w:lvl w:ilvl="7" w:tplc="490E6275">
      <w:start w:val="1"/>
      <w:numFmt w:val="decimal"/>
      <w:lvlText w:val="%8."/>
      <w:lvlJc w:val="left"/>
      <w:pPr>
        <w:ind w:left="5760" w:hanging="652"/>
      </w:pPr>
    </w:lvl>
    <w:lvl w:ilvl="8" w:tplc="5B848D38">
      <w:start w:val="1"/>
      <w:numFmt w:val="decimal"/>
      <w:lvlText w:val="%9."/>
      <w:lvlJc w:val="left"/>
      <w:pPr>
        <w:ind w:left="6480" w:hanging="652"/>
      </w:pPr>
    </w:lvl>
  </w:abstractNum>
  <w:abstractNum w:abstractNumId="2" w15:restartNumberingAfterBreak="0">
    <w:nsid w:val="0E249D56"/>
    <w:multiLevelType w:val="hybridMultilevel"/>
    <w:tmpl w:val="9C1A1922"/>
    <w:lvl w:ilvl="0" w:tplc="041D000F">
      <w:start w:val="1"/>
      <w:numFmt w:val="decimal"/>
      <w:lvlText w:val="%1."/>
      <w:lvlJc w:val="left"/>
      <w:pPr>
        <w:ind w:left="1777" w:hanging="360"/>
      </w:pPr>
      <w:rPr>
        <w:noProof w:val="0"/>
        <w:color w:val="000000"/>
        <w:lang w:val="sv-SE" w:eastAsia="sv-SE"/>
      </w:rPr>
    </w:lvl>
    <w:lvl w:ilvl="1" w:tplc="041D0019">
      <w:start w:val="1"/>
      <w:numFmt w:val="lowerLetter"/>
      <w:lvlText w:val="%2."/>
      <w:lvlJc w:val="left"/>
      <w:pPr>
        <w:ind w:left="2677" w:hanging="360"/>
      </w:pPr>
      <w:rPr>
        <w:noProof w:val="0"/>
        <w:color w:val="000000"/>
        <w:lang w:val="sv-SE" w:eastAsia="sv-SE"/>
      </w:rPr>
    </w:lvl>
    <w:lvl w:ilvl="2" w:tplc="041D001B">
      <w:start w:val="1"/>
      <w:numFmt w:val="lowerRoman"/>
      <w:lvlText w:val="%3."/>
      <w:lvlJc w:val="right"/>
      <w:pPr>
        <w:ind w:left="3397" w:hanging="180"/>
      </w:pPr>
      <w:rPr>
        <w:noProof w:val="0"/>
        <w:color w:val="000000"/>
        <w:lang w:val="sv-SE" w:eastAsia="sv-SE"/>
      </w:rPr>
    </w:lvl>
    <w:lvl w:ilvl="3" w:tplc="041D000F">
      <w:start w:val="1"/>
      <w:numFmt w:val="decimal"/>
      <w:lvlText w:val="%4."/>
      <w:lvlJc w:val="left"/>
      <w:pPr>
        <w:ind w:left="4117" w:hanging="360"/>
      </w:pPr>
      <w:rPr>
        <w:noProof w:val="0"/>
        <w:color w:val="000000"/>
        <w:lang w:val="sv-SE" w:eastAsia="sv-SE"/>
      </w:rPr>
    </w:lvl>
    <w:lvl w:ilvl="4" w:tplc="041D0019">
      <w:start w:val="1"/>
      <w:numFmt w:val="lowerLetter"/>
      <w:lvlText w:val="%5."/>
      <w:lvlJc w:val="left"/>
      <w:pPr>
        <w:ind w:left="4837" w:hanging="360"/>
      </w:pPr>
      <w:rPr>
        <w:noProof w:val="0"/>
        <w:color w:val="000000"/>
        <w:lang w:val="sv-SE" w:eastAsia="sv-SE"/>
      </w:rPr>
    </w:lvl>
    <w:lvl w:ilvl="5" w:tplc="041D001B">
      <w:start w:val="1"/>
      <w:numFmt w:val="lowerRoman"/>
      <w:lvlText w:val="%6."/>
      <w:lvlJc w:val="right"/>
      <w:pPr>
        <w:ind w:left="5557" w:hanging="180"/>
      </w:pPr>
      <w:rPr>
        <w:noProof w:val="0"/>
        <w:color w:val="000000"/>
        <w:lang w:val="sv-SE" w:eastAsia="sv-SE"/>
      </w:rPr>
    </w:lvl>
    <w:lvl w:ilvl="6" w:tplc="041D000F">
      <w:start w:val="1"/>
      <w:numFmt w:val="decimal"/>
      <w:lvlText w:val="%7."/>
      <w:lvlJc w:val="left"/>
      <w:pPr>
        <w:ind w:left="6277" w:hanging="360"/>
      </w:pPr>
      <w:rPr>
        <w:noProof w:val="0"/>
        <w:color w:val="000000"/>
        <w:lang w:val="sv-SE" w:eastAsia="sv-SE"/>
      </w:rPr>
    </w:lvl>
    <w:lvl w:ilvl="7" w:tplc="041D0019">
      <w:start w:val="1"/>
      <w:numFmt w:val="lowerLetter"/>
      <w:lvlText w:val="%8."/>
      <w:lvlJc w:val="left"/>
      <w:pPr>
        <w:ind w:left="6997" w:hanging="360"/>
      </w:pPr>
      <w:rPr>
        <w:noProof w:val="0"/>
        <w:color w:val="000000"/>
        <w:lang w:val="sv-SE" w:eastAsia="sv-SE"/>
      </w:rPr>
    </w:lvl>
    <w:lvl w:ilvl="8" w:tplc="041D001B">
      <w:start w:val="1"/>
      <w:numFmt w:val="lowerRoman"/>
      <w:lvlText w:val="%9."/>
      <w:lvlJc w:val="right"/>
      <w:pPr>
        <w:ind w:left="7717" w:hanging="180"/>
      </w:pPr>
      <w:rPr>
        <w:noProof w:val="0"/>
        <w:color w:val="000000"/>
        <w:lang w:val="sv-SE" w:eastAsia="sv-SE"/>
      </w:rPr>
    </w:lvl>
  </w:abstractNum>
  <w:abstractNum w:abstractNumId="3" w15:restartNumberingAfterBreak="0">
    <w:nsid w:val="2F452D4D"/>
    <w:multiLevelType w:val="hybridMultilevel"/>
    <w:tmpl w:val="FA4E1B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/>
        <w:noProof w:val="0"/>
        <w:color w:val="000000"/>
        <w:lang w:val="sv-SE" w:eastAsia="sv-SE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noProof w:val="0"/>
        <w:color w:val="000000"/>
        <w:lang w:val="sv-SE" w:eastAsia="sv-SE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noProof w:val="0"/>
        <w:color w:val="000000"/>
        <w:lang w:val="sv-SE" w:eastAsia="sv-SE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/>
        <w:noProof w:val="0"/>
        <w:color w:val="000000"/>
        <w:lang w:val="sv-SE" w:eastAsia="sv-SE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noProof w:val="0"/>
        <w:color w:val="000000"/>
        <w:lang w:val="sv-SE" w:eastAsia="sv-SE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noProof w:val="0"/>
        <w:color w:val="000000"/>
        <w:lang w:val="sv-SE" w:eastAsia="sv-SE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/>
        <w:noProof w:val="0"/>
        <w:color w:val="000000"/>
        <w:lang w:val="sv-SE" w:eastAsia="sv-SE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noProof w:val="0"/>
        <w:color w:val="000000"/>
        <w:lang w:val="sv-SE" w:eastAsia="sv-SE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noProof w:val="0"/>
        <w:color w:val="000000"/>
        <w:lang w:val="sv-SE" w:eastAsia="sv-S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1304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87"/>
    <w:rsid w:val="00752587"/>
    <w:rsid w:val="00F4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AF1C2-82A8-4012-8315-4FF1988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lang w:eastAsia="ar-SA"/>
    </w:rPr>
  </w:style>
  <w:style w:type="paragraph" w:styleId="Rubrik1">
    <w:name w:val="heading 1"/>
    <w:basedOn w:val="Normal"/>
    <w:next w:val="Normal"/>
    <w:uiPriority w:val="9"/>
    <w:qFormat/>
    <w:pPr>
      <w:keepNext/>
      <w:numPr>
        <w:numId w:val="1"/>
      </w:numPr>
      <w:tabs>
        <w:tab w:val="left" w:pos="4536"/>
      </w:tabs>
      <w:spacing w:before="240" w:after="60"/>
      <w:outlineLvl w:val="0"/>
    </w:pPr>
    <w:rPr>
      <w:sz w:val="24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pacing w:before="240" w:after="60"/>
      <w:outlineLvl w:val="2"/>
    </w:pPr>
    <w:rPr>
      <w:b/>
      <w:sz w:val="20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120"/>
    </w:pPr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lbany" w:hAnsi="Albany"/>
      <w:sz w:val="28"/>
    </w:rPr>
  </w:style>
  <w:style w:type="paragraph" w:styleId="Lista">
    <w:name w:val="List"/>
    <w:basedOn w:val="Brdtext"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Brdtext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i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i/>
      <w:sz w:val="20"/>
    </w:rPr>
  </w:style>
  <w:style w:type="paragraph" w:customStyle="1" w:styleId="Frteckning">
    <w:name w:val="Förteckning"/>
    <w:basedOn w:val="Normal"/>
    <w:pPr>
      <w:suppressLineNumbers/>
    </w:pPr>
  </w:style>
  <w:style w:type="paragraph" w:customStyle="1" w:styleId="WW-CommentText">
    <w:name w:val="WW-Comment Text"/>
    <w:basedOn w:val="Normal"/>
    <w:rPr>
      <w:sz w:val="20"/>
    </w:rPr>
  </w:style>
  <w:style w:type="paragraph" w:customStyle="1" w:styleId="StyleNormalBoldLeft095cm">
    <w:name w:val="Style Normal Bold Left:  095 cm"/>
    <w:basedOn w:val="Normal"/>
    <w:pPr>
      <w:ind w:left="540"/>
    </w:pPr>
    <w:rPr>
      <w:b/>
    </w:rPr>
  </w:style>
  <w:style w:type="paragraph" w:customStyle="1" w:styleId="StyleNormalBoldCentered">
    <w:name w:val="Style Normal Bold Centered"/>
    <w:basedOn w:val="Normal"/>
    <w:pPr>
      <w:jc w:val="center"/>
    </w:pPr>
    <w:rPr>
      <w:b/>
    </w:rPr>
  </w:style>
  <w:style w:type="paragraph" w:customStyle="1" w:styleId="StyleNormal10ptBoldCentered">
    <w:name w:val="Style Normal 10 pt Bold Centered"/>
    <w:basedOn w:val="Normal"/>
    <w:pPr>
      <w:jc w:val="center"/>
    </w:pPr>
    <w:rPr>
      <w:b/>
      <w:sz w:val="20"/>
    </w:rPr>
  </w:style>
  <w:style w:type="paragraph" w:customStyle="1" w:styleId="Normal06s">
    <w:name w:val="Normal 06s"/>
    <w:basedOn w:val="Normal"/>
    <w:rPr>
      <w:sz w:val="16"/>
    </w:rPr>
  </w:style>
  <w:style w:type="paragraph" w:customStyle="1" w:styleId="DeltaRubrik2">
    <w:name w:val="DeltaRubrik2"/>
    <w:basedOn w:val="Normal"/>
    <w:next w:val="Normal"/>
    <w:rPr>
      <w:b/>
    </w:rPr>
  </w:style>
  <w:style w:type="character" w:styleId="Radnummer">
    <w:name w:val="line number"/>
    <w:basedOn w:val="Standardstycketeckensnitt"/>
    <w:semiHidden/>
  </w:style>
  <w:style w:type="character" w:styleId="Hyperlnk">
    <w:name w:val="Hyperlink"/>
    <w:rPr>
      <w:color w:val="0000FF"/>
      <w:u w:val="single"/>
    </w:rPr>
  </w:style>
  <w:style w:type="character" w:customStyle="1" w:styleId="WW8Num2z0">
    <w:name w:val="WW8Num2z0"/>
    <w:rPr>
      <w:b/>
    </w:rPr>
  </w:style>
  <w:style w:type="character" w:customStyle="1" w:styleId="WW8Num5z0">
    <w:name w:val="WW8Num5z0"/>
    <w:rPr>
      <w:rFonts w:ascii="Arial" w:hAnsi="Arial"/>
      <w:b w:val="0"/>
      <w:i w:val="0"/>
    </w:rPr>
  </w:style>
  <w:style w:type="character" w:customStyle="1" w:styleId="WW-DefaultParagraphFont">
    <w:name w:val="WW-Default Paragraph Font"/>
  </w:style>
  <w:style w:type="character" w:customStyle="1" w:styleId="StyleNormal10">
    <w:name w:val="Style Normal 10"/>
    <w:basedOn w:val="WW-DefaultParagraphFont"/>
    <w:rPr>
      <w:rFonts w:ascii="Arial" w:hAnsi="Arial"/>
      <w:sz w:val="20"/>
    </w:rPr>
  </w:style>
  <w:style w:type="character" w:customStyle="1" w:styleId="StyleNormal8pt">
    <w:name w:val="Style Normal 8 pt"/>
    <w:basedOn w:val="WW-DefaultParagraphFont"/>
    <w:rPr>
      <w:rFonts w:ascii="Arial" w:hAnsi="Arial"/>
      <w:sz w:val="16"/>
    </w:rPr>
  </w:style>
  <w:style w:type="character" w:customStyle="1" w:styleId="StyleNormal8ptBold">
    <w:name w:val="Style Normal 8 pt Bold"/>
    <w:basedOn w:val="WW-DefaultParagraphFont"/>
    <w:rPr>
      <w:rFonts w:ascii="Arial" w:hAnsi="Arial"/>
      <w:b/>
      <w:sz w:val="16"/>
    </w:rPr>
  </w:style>
  <w:style w:type="character" w:styleId="Sidnummer">
    <w:name w:val="page number"/>
    <w:basedOn w:val="Standardstycketeckensnitt"/>
  </w:style>
  <w:style w:type="character" w:styleId="Platshllartext">
    <w:name w:val="Placeholder Text"/>
    <w:basedOn w:val="Standardstycketeckensnitt"/>
    <w:rPr>
      <w:rFonts w:ascii="Calibri" w:hAnsi="Calibri"/>
      <w:color w:val="004089"/>
    </w:rPr>
  </w:style>
  <w:style w:type="table" w:styleId="Enkeltabell1">
    <w:name w:val="Table Simple 1"/>
    <w:basedOn w:val="Normaltabel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Nykoping Oxelosund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Deurell Göran</dc:creator>
  <cp:lastModifiedBy>Deurell Göran</cp:lastModifiedBy>
  <cp:revision>2</cp:revision>
  <dcterms:created xsi:type="dcterms:W3CDTF">2020-11-20T14:34:00Z</dcterms:created>
  <dcterms:modified xsi:type="dcterms:W3CDTF">2020-11-20T14:34:00Z</dcterms:modified>
</cp:coreProperties>
</file>